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3" w:rsidRDefault="009C79F3" w:rsidP="009C7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1.19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заявки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на осуществление технологического присоединения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C5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b/>
          <w:sz w:val="28"/>
          <w:szCs w:val="28"/>
        </w:rPr>
        <w:t xml:space="preserve"> устройств заявителей, указанных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5" w:history="1">
        <w:r w:rsidRPr="00D35C5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пунктах 12(1)</w:t>
        </w:r>
      </w:hyperlink>
      <w:r w:rsidRPr="00D35C5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D35C5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13</w:t>
        </w:r>
      </w:hyperlink>
      <w:r w:rsidRPr="00D35C5F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Pr="00D35C5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14</w:t>
        </w:r>
      </w:hyperlink>
      <w:r w:rsidRPr="00D35C5F">
        <w:rPr>
          <w:rFonts w:ascii="Times New Roman" w:hAnsi="Times New Roman" w:cs="Times New Roman"/>
          <w:b/>
          <w:sz w:val="28"/>
          <w:szCs w:val="28"/>
        </w:rPr>
        <w:t xml:space="preserve"> Правил технологического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 xml:space="preserve">присоединения </w:t>
      </w:r>
      <w:proofErr w:type="spellStart"/>
      <w:r w:rsidRPr="00D35C5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b/>
          <w:sz w:val="28"/>
          <w:szCs w:val="28"/>
        </w:rPr>
        <w:t xml:space="preserve"> устройств потребителей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электрической энергии, объектов по производству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электрической энергии, а также объектов электросетевого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хозяйства, принадлежащих сетевым организациям и иным лицам,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к электрическим сетям, утвержденных постановлением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27.12.2004 N 861,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к электрическим сетям классом напряжения до 10 кВ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включительно посредством официального сайта сетевой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>организации или иного официального сайта в сети Интернет,</w:t>
      </w:r>
    </w:p>
    <w:p w:rsid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F">
        <w:rPr>
          <w:rFonts w:ascii="Times New Roman" w:hAnsi="Times New Roman" w:cs="Times New Roman"/>
          <w:b/>
          <w:sz w:val="28"/>
          <w:szCs w:val="28"/>
        </w:rPr>
        <w:t xml:space="preserve">определяемого Правительством Российской Федерации 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D35C5F" w:rsidTr="00D35C5F">
        <w:tc>
          <w:tcPr>
            <w:tcW w:w="5388" w:type="dxa"/>
          </w:tcPr>
          <w:p w:rsidR="00D35C5F" w:rsidRPr="00D35C5F" w:rsidRDefault="00D35C5F" w:rsidP="00D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5244" w:type="dxa"/>
          </w:tcPr>
          <w:p w:rsidR="00D35C5F" w:rsidRDefault="00D35C5F" w:rsidP="00D35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«СЕТЕВАЯ КОМПАНИЯ»</w:t>
            </w:r>
            <w:bookmarkStart w:id="0" w:name="_GoBack"/>
            <w:bookmarkEnd w:id="0"/>
          </w:p>
        </w:tc>
      </w:tr>
      <w:tr w:rsidR="00D35C5F" w:rsidTr="00D35C5F">
        <w:tc>
          <w:tcPr>
            <w:tcW w:w="5388" w:type="dxa"/>
          </w:tcPr>
          <w:p w:rsidR="00D35C5F" w:rsidRPr="00D35C5F" w:rsidRDefault="00D35C5F" w:rsidP="00D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44" w:type="dxa"/>
          </w:tcPr>
          <w:p w:rsidR="00D35C5F" w:rsidRDefault="00D35C5F" w:rsidP="00D35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4028055470</w:t>
            </w:r>
          </w:p>
        </w:tc>
      </w:tr>
      <w:tr w:rsidR="0025135E" w:rsidTr="00D35C5F">
        <w:tc>
          <w:tcPr>
            <w:tcW w:w="5388" w:type="dxa"/>
          </w:tcPr>
          <w:p w:rsidR="0025135E" w:rsidRPr="00D35C5F" w:rsidRDefault="0025135E" w:rsidP="00251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Местонахождение (фактический адрес)</w:t>
            </w:r>
          </w:p>
        </w:tc>
        <w:tc>
          <w:tcPr>
            <w:tcW w:w="5244" w:type="dxa"/>
          </w:tcPr>
          <w:p w:rsidR="0025135E" w:rsidRPr="0025135E" w:rsidRDefault="0025135E" w:rsidP="00251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г.Калуга</w:t>
            </w:r>
            <w:proofErr w:type="spellEnd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Луканиных</w:t>
            </w:r>
            <w:proofErr w:type="spellEnd"/>
            <w:r w:rsidRPr="002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д.1,пом.22</w:t>
            </w:r>
          </w:p>
        </w:tc>
      </w:tr>
      <w:tr w:rsidR="00D35C5F" w:rsidTr="00E753F0">
        <w:tc>
          <w:tcPr>
            <w:tcW w:w="10632" w:type="dxa"/>
            <w:gridSpan w:val="2"/>
          </w:tcPr>
          <w:p w:rsidR="00D35C5F" w:rsidRPr="00D35C5F" w:rsidRDefault="00D35C5F" w:rsidP="00D35C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на осуществление технологического присоединения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заявителей,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8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пунктах 12(1)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13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14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присоединения </w:t>
            </w:r>
            <w:proofErr w:type="spellStart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энергии, объектов по производству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энергии, а также объектов электросетевого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хозяйства, принадлежащих сетевым организациям и иным лицам,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к электрическим сетям, утвержденных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27.12.2004 N 861,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к электрическим сетям классом напряжения до 10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включительно посредством официального сайта сетевой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организации или иного официального сайта в сети Интернет,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определяемого Правительством Российской Федерации</w:t>
            </w:r>
          </w:p>
        </w:tc>
      </w:tr>
      <w:tr w:rsidR="00D35C5F" w:rsidTr="00AA66F2">
        <w:tc>
          <w:tcPr>
            <w:tcW w:w="10632" w:type="dxa"/>
            <w:gridSpan w:val="2"/>
          </w:tcPr>
          <w:p w:rsidR="00D35C5F" w:rsidRPr="00D35C5F" w:rsidRDefault="00D35C5F" w:rsidP="00D35C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пунктом 8(3)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технологического присоединения </w:t>
            </w:r>
            <w:proofErr w:type="spellStart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заявители, указанные в </w:t>
            </w:r>
            <w:hyperlink r:id="rId12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пунктах 12(1)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13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4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14</w:t>
              </w:r>
            </w:hyperlink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технологического присоединения, в случае осуществления технологического присоединения </w:t>
            </w:r>
            <w:proofErr w:type="spellStart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Интернет, определяемого Правительством Российской Федерации. </w:t>
            </w:r>
            <w:hyperlink w:anchor="Par1328" w:history="1">
              <w:r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  <w:p w:rsidR="00D35C5F" w:rsidRPr="00D35C5F" w:rsidRDefault="00602F82" w:rsidP="00D35C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5C5F" w:rsidRPr="00D35C5F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      </w:r>
            <w:hyperlink w:anchor="Par1332" w:history="1">
              <w:r w:rsidR="00D35C5F" w:rsidRPr="00D35C5F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&lt;4&gt;</w:t>
              </w:r>
            </w:hyperlink>
          </w:p>
          <w:p w:rsidR="00D35C5F" w:rsidRPr="00D35C5F" w:rsidRDefault="00D35C5F" w:rsidP="00D35C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5F">
              <w:rPr>
                <w:rFonts w:ascii="Times New Roman" w:hAnsi="Times New Roman" w:cs="Times New Roman"/>
                <w:sz w:val="28"/>
                <w:szCs w:val="28"/>
              </w:rPr>
      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</w:t>
            </w:r>
          </w:p>
        </w:tc>
      </w:tr>
    </w:tbl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5C5F">
        <w:rPr>
          <w:rFonts w:ascii="Times New Roman" w:hAnsi="Times New Roman" w:cs="Times New Roman"/>
          <w:sz w:val="28"/>
          <w:szCs w:val="28"/>
        </w:rPr>
        <w:t xml:space="preserve">&lt;*&gt; К заявителям, указанным в </w:t>
      </w:r>
      <w:hyperlink r:id="rId15" w:history="1">
        <w:r w:rsidRPr="00D35C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пунктах 12(1)</w:t>
        </w:r>
      </w:hyperlink>
      <w:r w:rsidRPr="00D35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35C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13</w:t>
        </w:r>
      </w:hyperlink>
      <w:r w:rsidRPr="00D35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35C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14</w:t>
        </w:r>
      </w:hyperlink>
      <w:r w:rsidRPr="00D35C5F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присоединения, относятся: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5C5F">
        <w:rPr>
          <w:rFonts w:ascii="Times New Roman" w:hAnsi="Times New Roman" w:cs="Times New Roman"/>
          <w:sz w:val="28"/>
          <w:szCs w:val="28"/>
        </w:rPr>
        <w:t xml:space="preserve">- юридические лица и индивидуальные предприниматели, направляющие заявки в целях технологического присоединения по одному источнику электроснабжения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устройств);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5C5F">
        <w:rPr>
          <w:rFonts w:ascii="Times New Roman" w:hAnsi="Times New Roman" w:cs="Times New Roman"/>
          <w:sz w:val="28"/>
          <w:szCs w:val="28"/>
        </w:rPr>
        <w:t xml:space="preserve">- заявители, направляющие заявки в целях временного технологического присоединения, предусмотренного </w:t>
      </w:r>
      <w:hyperlink r:id="rId18" w:history="1">
        <w:r w:rsidRPr="00D35C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VII</w:t>
        </w:r>
      </w:hyperlink>
      <w:r w:rsidRPr="00D35C5F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(в соответствии с </w:t>
      </w:r>
      <w:hyperlink r:id="rId19" w:history="1">
        <w:r w:rsidRPr="00D35C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50</w:t>
        </w:r>
      </w:hyperlink>
      <w:r w:rsidRPr="00D35C5F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временным технологическим присоединением является технологическое присоединение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устройств);</w:t>
      </w:r>
    </w:p>
    <w:p w:rsidR="00D35C5F" w:rsidRP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5C5F">
        <w:rPr>
          <w:rFonts w:ascii="Times New Roman" w:hAnsi="Times New Roman" w:cs="Times New Roman"/>
          <w:sz w:val="28"/>
          <w:szCs w:val="28"/>
        </w:rPr>
        <w:t xml:space="preserve">- физические лица, направляющие заявки в целях технологического присоединения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D35C5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5C5F">
        <w:rPr>
          <w:rFonts w:ascii="Times New Roman" w:hAnsi="Times New Roman" w:cs="Times New Roman"/>
          <w:sz w:val="28"/>
          <w:szCs w:val="28"/>
        </w:rPr>
        <w:t xml:space="preserve"> устройств), которые используются для бытовых нужд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D35C5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2"/>
      <w:bookmarkEnd w:id="1"/>
      <w:r w:rsidRPr="00D35C5F">
        <w:rPr>
          <w:rFonts w:ascii="Times New Roman" w:hAnsi="Times New Roman" w:cs="Times New Roman"/>
          <w:sz w:val="28"/>
          <w:szCs w:val="28"/>
        </w:rPr>
        <w:t>&lt;4&gt; Информация о порядке выдачи и использования идентификатора и пароля раскрывается регулируемой организацией в соответствии с таблицей 7.</w:t>
      </w:r>
    </w:p>
    <w:p w:rsidR="00D35C5F" w:rsidRPr="001F682F" w:rsidRDefault="00D35C5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82F" w:rsidRP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682F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1F682F" w:rsidRP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82F" w:rsidRP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2F">
        <w:rPr>
          <w:rFonts w:ascii="Times New Roman" w:hAnsi="Times New Roman" w:cs="Times New Roman"/>
          <w:b/>
          <w:sz w:val="28"/>
          <w:szCs w:val="28"/>
        </w:rPr>
        <w:t>Информация о порядке выдачи и использования</w:t>
      </w:r>
    </w:p>
    <w:p w:rsidR="001F682F" w:rsidRP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2F">
        <w:rPr>
          <w:rFonts w:ascii="Times New Roman" w:hAnsi="Times New Roman" w:cs="Times New Roman"/>
          <w:b/>
          <w:sz w:val="28"/>
          <w:szCs w:val="28"/>
        </w:rPr>
        <w:t>идентификатора и пароля для подачи заявки и документов</w:t>
      </w:r>
    </w:p>
    <w:p w:rsid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2F">
        <w:rPr>
          <w:rFonts w:ascii="Times New Roman" w:hAnsi="Times New Roman" w:cs="Times New Roman"/>
          <w:b/>
          <w:sz w:val="28"/>
          <w:szCs w:val="28"/>
        </w:rPr>
        <w:t>на технологическое присоединение к электрическим сетям</w:t>
      </w:r>
    </w:p>
    <w:p w:rsidR="008B1F3B" w:rsidRDefault="008B1F3B" w:rsidP="001F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B1F3B" w:rsidTr="008B1F3B">
        <w:tc>
          <w:tcPr>
            <w:tcW w:w="9571" w:type="dxa"/>
          </w:tcPr>
          <w:p w:rsidR="00B63EF0" w:rsidRPr="00B63EF0" w:rsidRDefault="00B63EF0" w:rsidP="00B63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F0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выдачи и использования</w:t>
            </w:r>
          </w:p>
          <w:p w:rsidR="00B63EF0" w:rsidRPr="00B63EF0" w:rsidRDefault="00B63EF0" w:rsidP="00B63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F0">
              <w:rPr>
                <w:rFonts w:ascii="Times New Roman" w:hAnsi="Times New Roman" w:cs="Times New Roman"/>
                <w:sz w:val="28"/>
                <w:szCs w:val="28"/>
              </w:rPr>
              <w:t>идентификатора и пароля для подачи заявки и документов</w:t>
            </w:r>
          </w:p>
          <w:p w:rsidR="008B1F3B" w:rsidRDefault="00B63EF0" w:rsidP="00B63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EF0">
              <w:rPr>
                <w:rFonts w:ascii="Times New Roman" w:hAnsi="Times New Roman" w:cs="Times New Roman"/>
                <w:sz w:val="28"/>
                <w:szCs w:val="28"/>
              </w:rPr>
              <w:t>на технологическое присоединение к электрическим сетям</w:t>
            </w:r>
          </w:p>
        </w:tc>
      </w:tr>
      <w:tr w:rsidR="008B1F3B" w:rsidTr="008B1F3B">
        <w:tc>
          <w:tcPr>
            <w:tcW w:w="9571" w:type="dxa"/>
          </w:tcPr>
          <w:p w:rsidR="005E3F96" w:rsidRPr="005E3F96" w:rsidRDefault="005E3F96" w:rsidP="005E3F96">
            <w:pPr>
              <w:ind w:firstLine="5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      </w:r>
          </w:p>
          <w:p w:rsidR="005E3F96" w:rsidRDefault="005E3F96" w:rsidP="005E3F96">
            <w:pPr>
              <w:ind w:firstLine="5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      </w:r>
          </w:p>
          <w:p w:rsidR="005E3F96" w:rsidRPr="00FD5B7D" w:rsidRDefault="005E3F96" w:rsidP="005E3F96">
            <w:pPr>
              <w:spacing w:before="115" w:line="253" w:lineRule="atLeast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Интернет-сервис «Личный кабинет» позволяет:</w:t>
            </w:r>
          </w:p>
          <w:p w:rsidR="005E3F96" w:rsidRPr="00FD5B7D" w:rsidRDefault="005E3F96" w:rsidP="005E3F96">
            <w:pPr>
              <w:numPr>
                <w:ilvl w:val="0"/>
                <w:numId w:val="1"/>
              </w:num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идентификатор и пароль для доступа в «Личный кабинет»;</w:t>
            </w:r>
          </w:p>
          <w:p w:rsidR="005E3F96" w:rsidRPr="00FD5B7D" w:rsidRDefault="005E3F96" w:rsidP="005E3F96">
            <w:pPr>
              <w:numPr>
                <w:ilvl w:val="0"/>
                <w:numId w:val="1"/>
              </w:num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заявку на технологическое присоединение к электрическим сетям и прилагаемые к ней документы;</w:t>
            </w:r>
          </w:p>
          <w:p w:rsidR="008B1F3B" w:rsidRPr="005E3F96" w:rsidRDefault="005E3F96" w:rsidP="00E44C0D">
            <w:pPr>
              <w:numPr>
                <w:ilvl w:val="0"/>
                <w:numId w:val="1"/>
              </w:num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в режиме реального времени актуальные сведения об основных этапах обработки заявки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заявителя подписанного со стороны ООО «СЕТЕВАЯ КОМПАНИЯ»»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(подачи) напряжения и мощности на объекты заявителя, а также о составлении и подписании документов о технологическом присоединении.</w:t>
            </w:r>
          </w:p>
        </w:tc>
      </w:tr>
    </w:tbl>
    <w:p w:rsidR="001F682F" w:rsidRPr="001F682F" w:rsidRDefault="001F682F" w:rsidP="001F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2F" w:rsidRPr="00D35C5F" w:rsidRDefault="001F682F" w:rsidP="00D35C5F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B7F6F" w:rsidRPr="00D35C5F" w:rsidRDefault="00AB7F6F" w:rsidP="00D35C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F6F" w:rsidRPr="00D35C5F" w:rsidSect="00E44C0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289"/>
    <w:multiLevelType w:val="multilevel"/>
    <w:tmpl w:val="A8B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35C5F"/>
    <w:rsid w:val="00100B3B"/>
    <w:rsid w:val="001F682F"/>
    <w:rsid w:val="0025135E"/>
    <w:rsid w:val="005E3F96"/>
    <w:rsid w:val="00602F82"/>
    <w:rsid w:val="007C0EF8"/>
    <w:rsid w:val="008B1F3B"/>
    <w:rsid w:val="009C79F3"/>
    <w:rsid w:val="00AB7F6F"/>
    <w:rsid w:val="00B63EF0"/>
    <w:rsid w:val="00D35C5F"/>
    <w:rsid w:val="00E44C0D"/>
    <w:rsid w:val="00FB3BA2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0077-2AA9-446D-9B6F-15865E6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C5F"/>
    <w:rPr>
      <w:color w:val="0000FF"/>
      <w:u w:val="single"/>
    </w:rPr>
  </w:style>
  <w:style w:type="table" w:styleId="a4">
    <w:name w:val="Table Grid"/>
    <w:basedOn w:val="a1"/>
    <w:uiPriority w:val="59"/>
    <w:rsid w:val="00D3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33C27C9F16B9D873C8CBC4FFD54777367305E0214698A5D5EA77639E67980950D907F672Db6H" TargetMode="External"/><Relationship Id="rId13" Type="http://schemas.openxmlformats.org/officeDocument/2006/relationships/hyperlink" Target="consultantplus://offline/ref=C5B33C27C9F16B9D873C8CBC4FFD54777367305E0214698A5D5EA77639E67980950D907D642Db9H" TargetMode="External"/><Relationship Id="rId18" Type="http://schemas.openxmlformats.org/officeDocument/2006/relationships/hyperlink" Target="consultantplus://offline/ref=C5B33C27C9F16B9D873C8CBC4FFD54777367305E0214698A5D5EA77639E67980950D907D672Db3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B33C27C9F16B9D873C8CBC4FFD54777367305E0214698A5D5EA77639E67980950D907A64D1067A23b8H" TargetMode="External"/><Relationship Id="rId12" Type="http://schemas.openxmlformats.org/officeDocument/2006/relationships/hyperlink" Target="consultantplus://offline/ref=C5B33C27C9F16B9D873C8CBC4FFD54777367305E0214698A5D5EA77639E67980950D907F672Db6H" TargetMode="External"/><Relationship Id="rId17" Type="http://schemas.openxmlformats.org/officeDocument/2006/relationships/hyperlink" Target="consultantplus://offline/ref=C5B33C27C9F16B9D873C8CBC4FFD54777367305E0214698A5D5EA77639E67980950D907A64D1067A23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33C27C9F16B9D873C8CBC4FFD54777367305E0214698A5D5EA77639E67980950D907D642Db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33C27C9F16B9D873C8CBC4FFD54777367305E0214698A5D5EA77639E67980950D907D642Db9H" TargetMode="External"/><Relationship Id="rId11" Type="http://schemas.openxmlformats.org/officeDocument/2006/relationships/hyperlink" Target="consultantplus://offline/ref=C5B33C27C9F16B9D873C8CBC4FFD54777367305E0214698A5D5EA77639E67980950D907E6C2Db6H" TargetMode="External"/><Relationship Id="rId5" Type="http://schemas.openxmlformats.org/officeDocument/2006/relationships/hyperlink" Target="consultantplus://offline/ref=C5B33C27C9F16B9D873C8CBC4FFD54777367305E0214698A5D5EA77639E67980950D907F672Db6H" TargetMode="External"/><Relationship Id="rId15" Type="http://schemas.openxmlformats.org/officeDocument/2006/relationships/hyperlink" Target="consultantplus://offline/ref=C5B33C27C9F16B9D873C8CBC4FFD54777367305E0214698A5D5EA77639E67980950D907F672Db6H" TargetMode="External"/><Relationship Id="rId10" Type="http://schemas.openxmlformats.org/officeDocument/2006/relationships/hyperlink" Target="consultantplus://offline/ref=C5B33C27C9F16B9D873C8CBC4FFD54777367305E0214698A5D5EA77639E67980950D907A64D1067A23b8H" TargetMode="External"/><Relationship Id="rId19" Type="http://schemas.openxmlformats.org/officeDocument/2006/relationships/hyperlink" Target="consultantplus://offline/ref=C5B33C27C9F16B9D873C8CBC4FFD54777367305E0214698A5D5EA77639E67980950D907D672D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33C27C9F16B9D873C8CBC4FFD54777367305E0214698A5D5EA77639E67980950D907D642Db9H" TargetMode="External"/><Relationship Id="rId14" Type="http://schemas.openxmlformats.org/officeDocument/2006/relationships/hyperlink" Target="consultantplus://offline/ref=C5B33C27C9F16B9D873C8CBC4FFD54777367305E0214698A5D5EA77639E67980950D907A64D1067A23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pisockaya</dc:creator>
  <cp:keywords/>
  <dc:description/>
  <cp:lastModifiedBy>Калиниченко Олеся Владимировна</cp:lastModifiedBy>
  <cp:revision>12</cp:revision>
  <cp:lastPrinted>2015-09-14T07:45:00Z</cp:lastPrinted>
  <dcterms:created xsi:type="dcterms:W3CDTF">2015-09-14T07:27:00Z</dcterms:created>
  <dcterms:modified xsi:type="dcterms:W3CDTF">2022-03-17T10:55:00Z</dcterms:modified>
</cp:coreProperties>
</file>